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AD93E" w14:textId="4D6BD891" w:rsidR="00876333" w:rsidRDefault="00091EC5" w:rsidP="00AA1D1B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Eudaimonia and Happiness</w:t>
      </w:r>
    </w:p>
    <w:p w14:paraId="2E756329" w14:textId="56081CE7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Bloomfield, P. (2018). Tracking Eudaimonia.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Philosophy, Theory, and Practice in Biology</w:t>
      </w:r>
      <w:r w:rsidRPr="00D3593C">
        <w:rPr>
          <w:rFonts w:ascii="Times New Roman" w:hAnsi="Times New Roman" w:cs="Times New Roman"/>
          <w:sz w:val="24"/>
          <w:szCs w:val="24"/>
        </w:rPr>
        <w:t>,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3593C">
        <w:rPr>
          <w:rFonts w:ascii="Times New Roman" w:hAnsi="Times New Roman" w:cs="Times New Roman"/>
          <w:sz w:val="24"/>
          <w:szCs w:val="24"/>
        </w:rPr>
        <w:t>(20200323). </w:t>
      </w:r>
      <w:hyperlink r:id="rId7" w:history="1">
        <w:r w:rsidR="00CB7CB9" w:rsidRPr="001B308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https://doi.org/10.3998/ptpbio.16039257.0010.002</w:t>
        </w:r>
      </w:hyperlink>
      <w:r w:rsidR="00CB7CB9">
        <w:rPr>
          <w:rFonts w:ascii="Times New Roman" w:hAnsi="Times New Roman" w:cs="Times New Roman"/>
          <w:sz w:val="24"/>
          <w:szCs w:val="24"/>
        </w:rPr>
        <w:t xml:space="preserve">  [Binder 7]  </w:t>
      </w:r>
    </w:p>
    <w:p w14:paraId="6869FAC0" w14:textId="4F75BA5F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Chavez, J. D., &amp; Villegas, J. A. (2017). Unhappy consciousness: The (Im)Possibilities of happiness in Hegel, Adorno, and Badiou.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Rupkatha Journal on Interdisciplinary Studies in Humanities</w:t>
      </w:r>
      <w:r w:rsidRPr="00D3593C">
        <w:rPr>
          <w:rFonts w:ascii="Times New Roman" w:hAnsi="Times New Roman" w:cs="Times New Roman"/>
          <w:sz w:val="24"/>
          <w:szCs w:val="24"/>
        </w:rPr>
        <w:t>,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D3593C">
        <w:rPr>
          <w:rFonts w:ascii="Times New Roman" w:hAnsi="Times New Roman" w:cs="Times New Roman"/>
          <w:sz w:val="24"/>
          <w:szCs w:val="24"/>
        </w:rPr>
        <w:t>(4), 45-52. https://doi.org/10.21659/rupkatha.v8n4.06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44C5964E" w14:textId="727B9DB5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Hascher, T. (2012). Well-being and learning in school.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Encyclopedia of the Sciences of Learning</w:t>
      </w:r>
      <w:r w:rsidRPr="00D3593C">
        <w:rPr>
          <w:rFonts w:ascii="Times New Roman" w:hAnsi="Times New Roman" w:cs="Times New Roman"/>
          <w:sz w:val="24"/>
          <w:szCs w:val="24"/>
        </w:rPr>
        <w:t>, 3453-3456. </w:t>
      </w:r>
      <w:hyperlink r:id="rId8" w:history="1">
        <w:r w:rsidRPr="00D3593C">
          <w:rPr>
            <w:rFonts w:ascii="Times New Roman" w:hAnsi="Times New Roman" w:cs="Times New Roman"/>
            <w:sz w:val="24"/>
            <w:szCs w:val="24"/>
          </w:rPr>
          <w:t>https://doi.org/10.1007/978-1-4419-1428-6_1832</w:t>
        </w:r>
      </w:hyperlink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6B240028" w14:textId="0B5E28BC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Hill, N., Brinkmann, S., &amp; Petersen, A. (Eds.). (2019).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Critical happiness studies</w:t>
      </w:r>
      <w:r w:rsidRPr="00D3593C">
        <w:rPr>
          <w:rFonts w:ascii="Times New Roman" w:hAnsi="Times New Roman" w:cs="Times New Roman"/>
          <w:sz w:val="24"/>
          <w:szCs w:val="24"/>
        </w:rPr>
        <w:t>. Routledge.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5F26E5DB" w14:textId="364D7111" w:rsidR="00D3593C" w:rsidRPr="0005728A" w:rsidRDefault="00D3593C" w:rsidP="00D359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5728A">
        <w:rPr>
          <w:rFonts w:ascii="Times New Roman" w:hAnsi="Times New Roman" w:cs="Times New Roman"/>
          <w:sz w:val="24"/>
          <w:szCs w:val="24"/>
        </w:rPr>
        <w:t xml:space="preserve">Kashdan, T. B., Biswas-Diener, R., &amp; King, L. A. (2008). Reconsidering happiness: the costs of distinguishing between hedonics and eudaimonia. </w:t>
      </w:r>
      <w:r w:rsidRPr="0005728A">
        <w:rPr>
          <w:rFonts w:ascii="Times New Roman" w:hAnsi="Times New Roman" w:cs="Times New Roman"/>
          <w:i/>
          <w:iCs/>
          <w:sz w:val="24"/>
          <w:szCs w:val="24"/>
        </w:rPr>
        <w:t>The Journal of Positive Psychology, 3</w:t>
      </w:r>
      <w:r w:rsidRPr="0005728A">
        <w:rPr>
          <w:rFonts w:ascii="Times New Roman" w:hAnsi="Times New Roman" w:cs="Times New Roman"/>
          <w:sz w:val="24"/>
          <w:szCs w:val="24"/>
        </w:rPr>
        <w:t>(4), 219–233. doi:10.1080/17439760802303044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724CEEFA" w14:textId="53F75890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Keyes, C. L. (2002). The mental health continuum: From languishing to flourishing in life.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Journal of Health and Social Behavior</w:t>
      </w:r>
      <w:r w:rsidRPr="00D3593C">
        <w:rPr>
          <w:rFonts w:ascii="Times New Roman" w:hAnsi="Times New Roman" w:cs="Times New Roman"/>
          <w:sz w:val="24"/>
          <w:szCs w:val="24"/>
        </w:rPr>
        <w:t>,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D3593C">
        <w:rPr>
          <w:rFonts w:ascii="Times New Roman" w:hAnsi="Times New Roman" w:cs="Times New Roman"/>
          <w:sz w:val="24"/>
          <w:szCs w:val="24"/>
        </w:rPr>
        <w:t>(2), 207. https://doi.org/10.2307/3090197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0C78E6A8" w14:textId="530D7FC7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Keyes, C. L. (2006). Mental health in adolescence: Is America's youth flourishing?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American Journal of Orthopsychiatry</w:t>
      </w:r>
      <w:r w:rsidRPr="00D3593C">
        <w:rPr>
          <w:rFonts w:ascii="Times New Roman" w:hAnsi="Times New Roman" w:cs="Times New Roman"/>
          <w:sz w:val="24"/>
          <w:szCs w:val="24"/>
        </w:rPr>
        <w:t>,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76</w:t>
      </w:r>
      <w:r w:rsidRPr="00D3593C">
        <w:rPr>
          <w:rFonts w:ascii="Times New Roman" w:hAnsi="Times New Roman" w:cs="Times New Roman"/>
          <w:sz w:val="24"/>
          <w:szCs w:val="24"/>
        </w:rPr>
        <w:t>(3), 395-402. https://doi.org/10.1037/0002-9432.76.3.395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15357BFF" w14:textId="47EBCB9C" w:rsidR="00D3593C" w:rsidRPr="00D3593C" w:rsidRDefault="00D3593C" w:rsidP="00D359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Kristjánsson, K. (2020). Flourishing as the aim of education: A neo-Aristotelian view. Abingdon, Oxon: Routledge.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3FE2AB9F" w14:textId="3BEF031A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Lebuffe, M. (2005). Spinoza's summum bonum.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Pacific Philosophical Quarterly</w:t>
      </w:r>
      <w:r w:rsidRPr="00D3593C">
        <w:rPr>
          <w:rFonts w:ascii="Times New Roman" w:hAnsi="Times New Roman" w:cs="Times New Roman"/>
          <w:sz w:val="24"/>
          <w:szCs w:val="24"/>
        </w:rPr>
        <w:t>,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86</w:t>
      </w:r>
      <w:r w:rsidRPr="00D3593C">
        <w:rPr>
          <w:rFonts w:ascii="Times New Roman" w:hAnsi="Times New Roman" w:cs="Times New Roman"/>
          <w:sz w:val="24"/>
          <w:szCs w:val="24"/>
        </w:rPr>
        <w:t>(2), 243-266. https://doi.org/10.1111/j.1468-0114.2005.00225.x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75DEBF43" w14:textId="77777777" w:rsidR="00D3593C" w:rsidRPr="00DF24CE" w:rsidRDefault="00D3593C" w:rsidP="00D359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F24CE">
        <w:rPr>
          <w:rFonts w:ascii="Times New Roman" w:hAnsi="Times New Roman" w:cs="Times New Roman"/>
          <w:sz w:val="24"/>
          <w:szCs w:val="24"/>
        </w:rPr>
        <w:t>Maynard, L., &amp; Stuart, K. (2018). Promoting young people's wellbeing through empowerment and agency: A critical framework for practice. Abingdon, Oxon, England: Routledge.</w:t>
      </w:r>
    </w:p>
    <w:p w14:paraId="7D5C58A2" w14:textId="5B56D7B5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Pursuit of Happiness. Aristotle’s Definition.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5AC14340" w14:textId="2D9E1DBC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Ryan, R. M., Curren, R. R., &amp; Deci, E. L. (2013). What humans need: Flourishing in Aristotelian philosophy and self-determination theory. In A. S. Waterman (Ed.),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The best within us: Positive psychology perspectives on eudaimonia</w:t>
      </w:r>
      <w:r w:rsidRPr="00D3593C">
        <w:rPr>
          <w:rFonts w:ascii="Times New Roman" w:hAnsi="Times New Roman" w:cs="Times New Roman"/>
          <w:sz w:val="24"/>
          <w:szCs w:val="24"/>
        </w:rPr>
        <w:t> (p. 57–75). American Psychological Association. </w:t>
      </w:r>
      <w:hyperlink r:id="rId9" w:tgtFrame="_blank" w:history="1">
        <w:r w:rsidRPr="00D3593C">
          <w:rPr>
            <w:rFonts w:ascii="Times New Roman" w:hAnsi="Times New Roman" w:cs="Times New Roman"/>
            <w:sz w:val="24"/>
            <w:szCs w:val="24"/>
          </w:rPr>
          <w:t>https://doi.org/10.1037/14092-004</w:t>
        </w:r>
      </w:hyperlink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433DC697" w14:textId="25E78D1D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Ryan, R. M., &amp; Martela, F. (2016). Eudaimonia as a way of living: Connecting Aristotle with self-determination theory.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Handbook of Eudaimonic Well-Being</w:t>
      </w:r>
      <w:r w:rsidRPr="00D3593C">
        <w:rPr>
          <w:rFonts w:ascii="Times New Roman" w:hAnsi="Times New Roman" w:cs="Times New Roman"/>
          <w:sz w:val="24"/>
          <w:szCs w:val="24"/>
        </w:rPr>
        <w:t>, 109-122. https://doi.org/10.1007/978-3-319-42445-3_7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33F86E9D" w14:textId="3F1D66E1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Ryan, R. M., &amp; Martela, F. (2016). Eudaimonia as a way of living: Connecting Aristotle with self-determination theory.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Handbook of Eudaimonic Well-Being</w:t>
      </w:r>
      <w:r w:rsidRPr="00D3593C">
        <w:rPr>
          <w:rFonts w:ascii="Times New Roman" w:hAnsi="Times New Roman" w:cs="Times New Roman"/>
          <w:sz w:val="24"/>
          <w:szCs w:val="24"/>
        </w:rPr>
        <w:t>, 109-122. https://doi.org/10.1007/978-3-319-42445-3_7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5CB85C1E" w14:textId="66009B4E" w:rsidR="00D3593C" w:rsidRPr="000F299B" w:rsidRDefault="00D3593C" w:rsidP="00D359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F299B">
        <w:rPr>
          <w:rFonts w:ascii="Times New Roman" w:hAnsi="Times New Roman" w:cs="Times New Roman"/>
          <w:sz w:val="24"/>
          <w:szCs w:val="24"/>
        </w:rPr>
        <w:lastRenderedPageBreak/>
        <w:t xml:space="preserve">Ryff, C. D. (1995). Psychological Well-Being in Adult Life. </w:t>
      </w:r>
      <w:r w:rsidRPr="000F299B">
        <w:rPr>
          <w:rFonts w:ascii="Times New Roman" w:hAnsi="Times New Roman" w:cs="Times New Roman"/>
          <w:i/>
          <w:iCs/>
          <w:sz w:val="24"/>
          <w:szCs w:val="24"/>
        </w:rPr>
        <w:t>Current Directions in Psychological Science, 4</w:t>
      </w:r>
      <w:r w:rsidRPr="000F299B">
        <w:rPr>
          <w:rFonts w:ascii="Times New Roman" w:hAnsi="Times New Roman" w:cs="Times New Roman"/>
          <w:sz w:val="24"/>
          <w:szCs w:val="24"/>
        </w:rPr>
        <w:t>(4), 99–104. doi:10.1111/1467-8721.ep10772395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27B2D7FF" w14:textId="4052E9CF" w:rsidR="00D3593C" w:rsidRPr="00185DFC" w:rsidRDefault="00D3593C" w:rsidP="00D359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5DFC">
        <w:rPr>
          <w:rFonts w:ascii="Times New Roman" w:hAnsi="Times New Roman" w:cs="Times New Roman"/>
          <w:sz w:val="24"/>
          <w:szCs w:val="24"/>
        </w:rPr>
        <w:t xml:space="preserve">Ryff, C. D. (2018). Well-Being With Soul: Science in Pursuit of Human Potential. </w:t>
      </w:r>
      <w:r w:rsidRPr="00185DFC">
        <w:rPr>
          <w:rFonts w:ascii="Times New Roman" w:hAnsi="Times New Roman" w:cs="Times New Roman"/>
          <w:i/>
          <w:iCs/>
          <w:sz w:val="24"/>
          <w:szCs w:val="24"/>
        </w:rPr>
        <w:t>Perspectives on Psychological Science, 13</w:t>
      </w:r>
      <w:r w:rsidRPr="00185DFC">
        <w:rPr>
          <w:rFonts w:ascii="Times New Roman" w:hAnsi="Times New Roman" w:cs="Times New Roman"/>
          <w:sz w:val="24"/>
          <w:szCs w:val="24"/>
        </w:rPr>
        <w:t>(2), 242–248. doi:10.1177/1745691617699836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13151719" w14:textId="47E0884F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Ryff, C. D., &amp; Keyes, C. L. (1995). The structure of psychological well-being revisited.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D3593C">
        <w:rPr>
          <w:rFonts w:ascii="Times New Roman" w:hAnsi="Times New Roman" w:cs="Times New Roman"/>
          <w:sz w:val="24"/>
          <w:szCs w:val="24"/>
        </w:rPr>
        <w:t>,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69</w:t>
      </w:r>
      <w:r w:rsidRPr="00D3593C">
        <w:rPr>
          <w:rFonts w:ascii="Times New Roman" w:hAnsi="Times New Roman" w:cs="Times New Roman"/>
          <w:sz w:val="24"/>
          <w:szCs w:val="24"/>
        </w:rPr>
        <w:t>(4), 719-727. https://doi.org/10.1037/0022-3514.69.4.719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2B23DC2C" w14:textId="0BDA1DF0" w:rsidR="00D3593C" w:rsidRPr="007124F8" w:rsidRDefault="00D3593C" w:rsidP="00D359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124F8">
        <w:rPr>
          <w:rFonts w:ascii="Times New Roman" w:hAnsi="Times New Roman" w:cs="Times New Roman"/>
          <w:sz w:val="24"/>
          <w:szCs w:val="24"/>
        </w:rPr>
        <w:t>Seneca, S. L</w:t>
      </w:r>
      <w:r w:rsidRPr="00D3593C">
        <w:rPr>
          <w:rFonts w:ascii="Times New Roman" w:hAnsi="Times New Roman" w:cs="Times New Roman"/>
          <w:sz w:val="24"/>
          <w:szCs w:val="24"/>
        </w:rPr>
        <w:t xml:space="preserve">. </w:t>
      </w:r>
      <w:r w:rsidRPr="007124F8">
        <w:rPr>
          <w:rFonts w:ascii="Times New Roman" w:hAnsi="Times New Roman" w:cs="Times New Roman"/>
          <w:sz w:val="24"/>
          <w:szCs w:val="24"/>
        </w:rPr>
        <w:t>A. (2008). On the Happy Life. Oxford World’s Classics: Seneca: Dialogues and Essays, 85–85. doi:10.1093/oseo/instance.00136744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19C23F68" w14:textId="49BB2E7E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Skrzypiec, G., Wyra, M., &amp; Didaskalou, E. (Eds.). (2019).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A global perspective of young adolescents’ peer aggression and well-being: Beyond bullying</w:t>
      </w:r>
      <w:r w:rsidRPr="00D3593C">
        <w:rPr>
          <w:rFonts w:ascii="Times New Roman" w:hAnsi="Times New Roman" w:cs="Times New Roman"/>
          <w:sz w:val="24"/>
          <w:szCs w:val="24"/>
        </w:rPr>
        <w:t>. Routledge.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4C072DD4" w14:textId="2CF37B5B" w:rsidR="00D3593C" w:rsidRPr="006540FE" w:rsidRDefault="00D3593C" w:rsidP="00D359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0FE">
        <w:rPr>
          <w:rFonts w:ascii="Times New Roman" w:hAnsi="Times New Roman" w:cs="Times New Roman"/>
          <w:sz w:val="24"/>
          <w:szCs w:val="24"/>
        </w:rPr>
        <w:t>Theron, S. (2018). Thomas Aquinas on virtue and human flourishing. Cambridge: Cambridge Scholars Publishing.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4A760EEF" w14:textId="13D014E6" w:rsidR="00D3593C" w:rsidRDefault="00D3593C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93C">
        <w:rPr>
          <w:rFonts w:ascii="Times New Roman" w:hAnsi="Times New Roman" w:cs="Times New Roman"/>
          <w:sz w:val="24"/>
          <w:szCs w:val="24"/>
        </w:rPr>
        <w:t>Wissing, M. P., Schutte, L., Liversage, C., Entwisle, B., Gericke, M., &amp; Keyes, C. (2019). Important goals, meanings, and relationships in flourishing and languishing states: Towards patterns of well-being. </w:t>
      </w:r>
      <w:r w:rsidRPr="00D3593C">
        <w:rPr>
          <w:rFonts w:ascii="Times New Roman" w:hAnsi="Times New Roman" w:cs="Times New Roman"/>
          <w:i/>
          <w:iCs/>
          <w:sz w:val="24"/>
          <w:szCs w:val="24"/>
        </w:rPr>
        <w:t>Applied Research in Quality of Life</w:t>
      </w:r>
      <w:r w:rsidRPr="00D3593C">
        <w:rPr>
          <w:rFonts w:ascii="Times New Roman" w:hAnsi="Times New Roman" w:cs="Times New Roman"/>
          <w:sz w:val="24"/>
          <w:szCs w:val="24"/>
        </w:rPr>
        <w:t>. https://doi.org/10.1007/s11482-019-09771-8</w:t>
      </w:r>
      <w:r w:rsidR="00CB7CB9">
        <w:rPr>
          <w:rFonts w:ascii="Times New Roman" w:hAnsi="Times New Roman" w:cs="Times New Roman"/>
          <w:sz w:val="24"/>
          <w:szCs w:val="24"/>
        </w:rPr>
        <w:t xml:space="preserve"> [Binder 7]  </w:t>
      </w:r>
    </w:p>
    <w:p w14:paraId="16E0B942" w14:textId="77777777" w:rsidR="00091EC5" w:rsidRDefault="00091EC5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9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11769" w14:textId="77777777" w:rsidR="00E5306B" w:rsidRDefault="00E5306B" w:rsidP="00F24F54">
      <w:pPr>
        <w:spacing w:after="0" w:line="240" w:lineRule="auto"/>
      </w:pPr>
      <w:r>
        <w:separator/>
      </w:r>
    </w:p>
  </w:endnote>
  <w:endnote w:type="continuationSeparator" w:id="0">
    <w:p w14:paraId="6BEE0894" w14:textId="77777777" w:rsidR="00E5306B" w:rsidRDefault="00E5306B" w:rsidP="00F2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6888D" w14:textId="77777777" w:rsidR="00E5306B" w:rsidRDefault="00E5306B" w:rsidP="00F24F54">
      <w:pPr>
        <w:spacing w:after="0" w:line="240" w:lineRule="auto"/>
      </w:pPr>
      <w:r>
        <w:separator/>
      </w:r>
    </w:p>
  </w:footnote>
  <w:footnote w:type="continuationSeparator" w:id="0">
    <w:p w14:paraId="1C880F56" w14:textId="77777777" w:rsidR="00E5306B" w:rsidRDefault="00E5306B" w:rsidP="00F2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1E17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683B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3A26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769B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A67A1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50D2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F048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834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38A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65F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85"/>
    <w:rsid w:val="0005728A"/>
    <w:rsid w:val="00091EC5"/>
    <w:rsid w:val="000A33C3"/>
    <w:rsid w:val="000F299B"/>
    <w:rsid w:val="00116ECC"/>
    <w:rsid w:val="0014296C"/>
    <w:rsid w:val="00185DFC"/>
    <w:rsid w:val="001A5974"/>
    <w:rsid w:val="00281185"/>
    <w:rsid w:val="002F12AC"/>
    <w:rsid w:val="002F33DC"/>
    <w:rsid w:val="003019C5"/>
    <w:rsid w:val="00376F1D"/>
    <w:rsid w:val="00393709"/>
    <w:rsid w:val="003A024D"/>
    <w:rsid w:val="003B29DD"/>
    <w:rsid w:val="003E7DE0"/>
    <w:rsid w:val="004209C8"/>
    <w:rsid w:val="0044310A"/>
    <w:rsid w:val="00480C8E"/>
    <w:rsid w:val="004A40AC"/>
    <w:rsid w:val="004E02C8"/>
    <w:rsid w:val="005603D4"/>
    <w:rsid w:val="00590833"/>
    <w:rsid w:val="005B4B8C"/>
    <w:rsid w:val="005B50FD"/>
    <w:rsid w:val="005E735A"/>
    <w:rsid w:val="00632399"/>
    <w:rsid w:val="00641147"/>
    <w:rsid w:val="006540FE"/>
    <w:rsid w:val="006B5630"/>
    <w:rsid w:val="006D6847"/>
    <w:rsid w:val="007124F8"/>
    <w:rsid w:val="00722A61"/>
    <w:rsid w:val="0075438D"/>
    <w:rsid w:val="007772E0"/>
    <w:rsid w:val="007E443F"/>
    <w:rsid w:val="0085797C"/>
    <w:rsid w:val="00876333"/>
    <w:rsid w:val="00942B4A"/>
    <w:rsid w:val="009575E3"/>
    <w:rsid w:val="009F32C2"/>
    <w:rsid w:val="00A0115E"/>
    <w:rsid w:val="00A12661"/>
    <w:rsid w:val="00A3425C"/>
    <w:rsid w:val="00A4626F"/>
    <w:rsid w:val="00AA1D1B"/>
    <w:rsid w:val="00B645EA"/>
    <w:rsid w:val="00C81493"/>
    <w:rsid w:val="00CB7CB9"/>
    <w:rsid w:val="00CD77B0"/>
    <w:rsid w:val="00D20E7C"/>
    <w:rsid w:val="00D25ECF"/>
    <w:rsid w:val="00D3593C"/>
    <w:rsid w:val="00D53328"/>
    <w:rsid w:val="00DC6676"/>
    <w:rsid w:val="00DF24CE"/>
    <w:rsid w:val="00DF2AC3"/>
    <w:rsid w:val="00E02A12"/>
    <w:rsid w:val="00E04050"/>
    <w:rsid w:val="00E05628"/>
    <w:rsid w:val="00E52266"/>
    <w:rsid w:val="00E5306B"/>
    <w:rsid w:val="00E65280"/>
    <w:rsid w:val="00EC3528"/>
    <w:rsid w:val="00EC67A4"/>
    <w:rsid w:val="00F24F54"/>
    <w:rsid w:val="00FB3135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AE819D"/>
  <w15:chartTrackingRefBased/>
  <w15:docId w15:val="{036F5D51-5C34-43A1-AED0-5F775E18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85"/>
  </w:style>
  <w:style w:type="paragraph" w:styleId="Heading1">
    <w:name w:val="heading 1"/>
    <w:basedOn w:val="Normal"/>
    <w:next w:val="Normal"/>
    <w:link w:val="Heading1Char"/>
    <w:uiPriority w:val="9"/>
    <w:qFormat/>
    <w:rsid w:val="00F24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1185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185"/>
    <w:rPr>
      <w:color w:val="0000FF"/>
      <w:u w:val="single"/>
    </w:rPr>
  </w:style>
  <w:style w:type="character" w:customStyle="1" w:styleId="httpsdoiorg101016jijchp201601003">
    <w:name w:val="https://doi.org10.1016/j.ijchp.2016.01.003"/>
    <w:basedOn w:val="DefaultParagraphFont"/>
    <w:rsid w:val="00DF2AC3"/>
  </w:style>
  <w:style w:type="character" w:customStyle="1" w:styleId="httpsdoiorg101037a0021307">
    <w:name w:val="https://doi.org10.1037/a0021307"/>
    <w:basedOn w:val="DefaultParagraphFont"/>
    <w:rsid w:val="005B4B8C"/>
  </w:style>
  <w:style w:type="character" w:customStyle="1" w:styleId="httpsdoiorg101007s12310-018-9248-5">
    <w:name w:val="https://doi.org10.1007/s12310-018-9248-5"/>
    <w:basedOn w:val="DefaultParagraphFont"/>
    <w:rsid w:val="00B645EA"/>
  </w:style>
  <w:style w:type="character" w:customStyle="1" w:styleId="httpsdoiorg1010271015-5759a000431">
    <w:name w:val="https://doi.org10.1027/1015-5759/a000431"/>
    <w:basedOn w:val="DefaultParagraphFont"/>
    <w:rsid w:val="00A12661"/>
  </w:style>
  <w:style w:type="character" w:customStyle="1" w:styleId="httpsdoiorg101002pits20303">
    <w:name w:val="https://doi.org10.1002/pits.20303"/>
    <w:basedOn w:val="DefaultParagraphFont"/>
    <w:rsid w:val="006D6847"/>
  </w:style>
  <w:style w:type="character" w:customStyle="1" w:styleId="httpsdoiorg101016jtate2019102936">
    <w:name w:val="https://doi.org10.1016/j.tate.2019.102936"/>
    <w:basedOn w:val="DefaultParagraphFont"/>
    <w:rsid w:val="003E7DE0"/>
  </w:style>
  <w:style w:type="character" w:customStyle="1" w:styleId="httpsdoiorg101016jcedpsych201802004">
    <w:name w:val="https://doi.org10.1016/j.cedpsych.2018.02.004"/>
    <w:basedOn w:val="DefaultParagraphFont"/>
    <w:rsid w:val="004E02C8"/>
  </w:style>
  <w:style w:type="paragraph" w:styleId="BalloonText">
    <w:name w:val="Balloon Text"/>
    <w:basedOn w:val="Normal"/>
    <w:link w:val="BalloonTextChar"/>
    <w:uiPriority w:val="99"/>
    <w:semiHidden/>
    <w:unhideWhenUsed/>
    <w:rsid w:val="00F2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5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F54"/>
  </w:style>
  <w:style w:type="paragraph" w:styleId="BlockText">
    <w:name w:val="Block Text"/>
    <w:basedOn w:val="Normal"/>
    <w:uiPriority w:val="99"/>
    <w:semiHidden/>
    <w:unhideWhenUsed/>
    <w:rsid w:val="00F24F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F54"/>
  </w:style>
  <w:style w:type="paragraph" w:styleId="BodyText2">
    <w:name w:val="Body Text 2"/>
    <w:basedOn w:val="Normal"/>
    <w:link w:val="BodyText2Char"/>
    <w:uiPriority w:val="99"/>
    <w:semiHidden/>
    <w:unhideWhenUsed/>
    <w:rsid w:val="00F24F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4F54"/>
  </w:style>
  <w:style w:type="paragraph" w:styleId="BodyText3">
    <w:name w:val="Body Text 3"/>
    <w:basedOn w:val="Normal"/>
    <w:link w:val="BodyText3Char"/>
    <w:uiPriority w:val="99"/>
    <w:semiHidden/>
    <w:unhideWhenUsed/>
    <w:rsid w:val="00F24F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4F5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F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4F5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F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4F5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F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4F5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F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4F5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F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4F5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F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4F5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4F54"/>
  </w:style>
  <w:style w:type="paragraph" w:styleId="CommentText">
    <w:name w:val="annotation text"/>
    <w:basedOn w:val="Normal"/>
    <w:link w:val="CommentTextChar"/>
    <w:uiPriority w:val="99"/>
    <w:semiHidden/>
    <w:unhideWhenUsed/>
    <w:rsid w:val="00F24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F5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F54"/>
  </w:style>
  <w:style w:type="character" w:customStyle="1" w:styleId="DateChar">
    <w:name w:val="Date Char"/>
    <w:basedOn w:val="DefaultParagraphFont"/>
    <w:link w:val="Date"/>
    <w:uiPriority w:val="99"/>
    <w:semiHidden/>
    <w:rsid w:val="00F24F54"/>
  </w:style>
  <w:style w:type="paragraph" w:styleId="DocumentMap">
    <w:name w:val="Document Map"/>
    <w:basedOn w:val="Normal"/>
    <w:link w:val="DocumentMapChar"/>
    <w:uiPriority w:val="99"/>
    <w:semiHidden/>
    <w:unhideWhenUsed/>
    <w:rsid w:val="00F24F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4F5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F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4F54"/>
  </w:style>
  <w:style w:type="paragraph" w:styleId="EndnoteText">
    <w:name w:val="endnote text"/>
    <w:basedOn w:val="Normal"/>
    <w:link w:val="EndnoteTextChar"/>
    <w:uiPriority w:val="99"/>
    <w:semiHidden/>
    <w:unhideWhenUsed/>
    <w:rsid w:val="00F24F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F5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F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F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54"/>
  </w:style>
  <w:style w:type="paragraph" w:styleId="FootnoteText">
    <w:name w:val="footnote text"/>
    <w:basedOn w:val="Normal"/>
    <w:link w:val="FootnoteTextChar"/>
    <w:uiPriority w:val="99"/>
    <w:semiHidden/>
    <w:unhideWhenUsed/>
    <w:rsid w:val="00F24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F5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54"/>
  </w:style>
  <w:style w:type="character" w:customStyle="1" w:styleId="Heading1Char">
    <w:name w:val="Heading 1 Char"/>
    <w:basedOn w:val="DefaultParagraphFont"/>
    <w:link w:val="Heading1"/>
    <w:uiPriority w:val="9"/>
    <w:rsid w:val="00F2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F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5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F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4F5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F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F5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F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54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24F5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24F5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24F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24F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24F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24F5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4F5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4F5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4F5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4F5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F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F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F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F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F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24F5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4F5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4F5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4F5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4F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24F5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24F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4F5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F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4F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4F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4F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F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F5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4F54"/>
  </w:style>
  <w:style w:type="paragraph" w:styleId="PlainText">
    <w:name w:val="Plain Text"/>
    <w:basedOn w:val="Normal"/>
    <w:link w:val="PlainTextChar"/>
    <w:uiPriority w:val="99"/>
    <w:semiHidden/>
    <w:unhideWhenUsed/>
    <w:rsid w:val="00F24F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F5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4F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5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F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4F54"/>
  </w:style>
  <w:style w:type="paragraph" w:styleId="Signature">
    <w:name w:val="Signature"/>
    <w:basedOn w:val="Normal"/>
    <w:link w:val="SignatureChar"/>
    <w:uiPriority w:val="99"/>
    <w:semiHidden/>
    <w:unhideWhenUsed/>
    <w:rsid w:val="00F24F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4F54"/>
  </w:style>
  <w:style w:type="paragraph" w:styleId="Subtitle">
    <w:name w:val="Subtitle"/>
    <w:basedOn w:val="Normal"/>
    <w:next w:val="Normal"/>
    <w:link w:val="SubtitleChar"/>
    <w:uiPriority w:val="11"/>
    <w:qFormat/>
    <w:rsid w:val="00F24F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F5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4F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4F5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24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4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4F5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24F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24F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24F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4F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4F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4F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4F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4F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F54"/>
    <w:pPr>
      <w:outlineLvl w:val="9"/>
    </w:pPr>
  </w:style>
  <w:style w:type="character" w:customStyle="1" w:styleId="httpsdoiorg101521jscp24228062277">
    <w:name w:val="https://doi.org10.1521/jscp.24.2.280.62277"/>
    <w:basedOn w:val="DefaultParagraphFont"/>
    <w:rsid w:val="00590833"/>
  </w:style>
  <w:style w:type="character" w:customStyle="1" w:styleId="httpsdoiorg101123jcsp2016-0013">
    <w:name w:val="https://doi.org10.1123/jcsp.2016-0013"/>
    <w:basedOn w:val="DefaultParagraphFont"/>
    <w:rsid w:val="002F12AC"/>
  </w:style>
  <w:style w:type="character" w:customStyle="1" w:styleId="httpsdoiorg1011771523422318756954">
    <w:name w:val="https://doi.org10.1177/1523422318756954"/>
    <w:basedOn w:val="DefaultParagraphFont"/>
    <w:rsid w:val="00D25ECF"/>
  </w:style>
  <w:style w:type="character" w:customStyle="1" w:styleId="httpsdoiorg101111jopy12440">
    <w:name w:val="https://doi.org10.1111/jopy.12440"/>
    <w:basedOn w:val="DefaultParagraphFont"/>
    <w:rsid w:val="000A33C3"/>
  </w:style>
  <w:style w:type="character" w:customStyle="1" w:styleId="httpsdoiorg101016jchiabu201810010">
    <w:name w:val="https://doi.org10.1016/j.chiabu.2018.10.010"/>
    <w:basedOn w:val="DefaultParagraphFont"/>
    <w:rsid w:val="0014296C"/>
  </w:style>
  <w:style w:type="character" w:customStyle="1" w:styleId="httpsdoiorg101007s11031-008-9092-2">
    <w:name w:val="https://doi.org10.1007/s11031-008-9092-2"/>
    <w:basedOn w:val="DefaultParagraphFont"/>
    <w:rsid w:val="005E735A"/>
  </w:style>
  <w:style w:type="character" w:customStyle="1" w:styleId="httpsdoiorg101093oxfordhb97801906664530131">
    <w:name w:val="https://doi.org10.1093/oxfordhb/9780190666453.013.1"/>
    <w:basedOn w:val="DefaultParagraphFont"/>
    <w:rsid w:val="00A4626F"/>
  </w:style>
  <w:style w:type="character" w:customStyle="1" w:styleId="httpsdoiorg101007978-3-319-42445-37">
    <w:name w:val="https://doi.org10.1007/978-3-319-42445-3_7"/>
    <w:basedOn w:val="DefaultParagraphFont"/>
    <w:rsid w:val="0044310A"/>
  </w:style>
  <w:style w:type="character" w:customStyle="1" w:styleId="httpsdoiorg1010370002-9432763395">
    <w:name w:val="https://doi.org10.1037/0002-9432.76.3.395"/>
    <w:basedOn w:val="DefaultParagraphFont"/>
    <w:rsid w:val="00E04050"/>
  </w:style>
  <w:style w:type="character" w:customStyle="1" w:styleId="httpsdoiorg101111j1468-0114200500225x">
    <w:name w:val="https://doi.org10.1111/j.1468-0114.2005.00225.x"/>
    <w:basedOn w:val="DefaultParagraphFont"/>
    <w:rsid w:val="004A40AC"/>
  </w:style>
  <w:style w:type="character" w:customStyle="1" w:styleId="httpsdoiorg1023073090197">
    <w:name w:val="https://doi.org10.2307/3090197"/>
    <w:basedOn w:val="DefaultParagraphFont"/>
    <w:rsid w:val="00EC3528"/>
  </w:style>
  <w:style w:type="character" w:customStyle="1" w:styleId="httpsdoiorg101007s11482-019-09771-8">
    <w:name w:val="https://doi.org10.1007/s11482-019-09771-8"/>
    <w:basedOn w:val="DefaultParagraphFont"/>
    <w:rsid w:val="00CD77B0"/>
  </w:style>
  <w:style w:type="character" w:customStyle="1" w:styleId="httpsdoiorg1021659rupkathav8n406">
    <w:name w:val="https://doi.org10.21659/rupkatha.v8n4.06"/>
    <w:basedOn w:val="DefaultParagraphFont"/>
    <w:rsid w:val="003019C5"/>
  </w:style>
  <w:style w:type="character" w:customStyle="1" w:styleId="httpsdoiorg1010370022-3514694719">
    <w:name w:val="https://doi.org10.1037/0022-3514.69.4.719"/>
    <w:basedOn w:val="DefaultParagraphFont"/>
    <w:rsid w:val="009575E3"/>
  </w:style>
  <w:style w:type="character" w:customStyle="1" w:styleId="httpsdoiorg103998ptpbio160392570010002">
    <w:name w:val="https://doi.org10.3998/ptpbio.16039257.0010.002"/>
    <w:basedOn w:val="DefaultParagraphFont"/>
    <w:rsid w:val="00E65280"/>
  </w:style>
  <w:style w:type="character" w:styleId="UnresolvedMention">
    <w:name w:val="Unresolved Mention"/>
    <w:basedOn w:val="DefaultParagraphFont"/>
    <w:uiPriority w:val="99"/>
    <w:semiHidden/>
    <w:unhideWhenUsed/>
    <w:rsid w:val="00CB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10.1007/978-1-4419-1428-6_18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998/ptpbio.16039257.0010.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ycnet.apa.org/doi/10.1037/14092-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483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28</cp:revision>
  <cp:lastPrinted>2020-05-14T23:19:00Z</cp:lastPrinted>
  <dcterms:created xsi:type="dcterms:W3CDTF">2020-05-15T03:30:00Z</dcterms:created>
  <dcterms:modified xsi:type="dcterms:W3CDTF">2020-07-03T03:05:00Z</dcterms:modified>
</cp:coreProperties>
</file>